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overflowPunct w:val="true"/>
        <w:spacing w:before="0" w:after="0"/>
        <w:jc w:val="both"/>
        <w:textAlignment w:val="baseline"/>
        <w:rPr>
          <w:rFonts w:ascii="Arial" w:hAnsi="Arial" w:eastAsia="Times New Roman" w:cs="Arial"/>
          <w:kern w:val="2"/>
          <w:sz w:val="24"/>
          <w:szCs w:val="24"/>
          <w:lang w:eastAsia="zh-CN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  <w:r>
        <w:rPr>
          <w:rFonts w:cs="Arial" w:ascii="Arial" w:hAnsi="Arial"/>
          <w:b/>
          <w:bCs/>
          <w:sz w:val="24"/>
          <w:szCs w:val="24"/>
        </w:rPr>
        <w:tab/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b/>
          <w:bCs/>
          <w:sz w:val="28"/>
          <w:szCs w:val="28"/>
        </w:rPr>
        <w:t>„Przebudowa systemu filtracji na Pływalni Krytej przy ul. P.O.W. 14 w Wieluniu – wymiana filtrów wraz z oprzyrządowaniem”</w:t>
      </w:r>
      <w:r>
        <w:rPr>
          <w:rFonts w:eastAsia="Times New Roman" w:cs="Arial" w:ascii="Arial" w:hAnsi="Arial"/>
          <w:kern w:val="2"/>
          <w:sz w:val="24"/>
          <w:szCs w:val="24"/>
          <w:lang w:eastAsia="zh-CN"/>
        </w:rPr>
        <w:t xml:space="preserve">  </w:t>
      </w:r>
      <w:r>
        <w:rPr>
          <w:b/>
          <w:bCs/>
          <w:sz w:val="28"/>
          <w:szCs w:val="28"/>
        </w:rPr>
        <w:t>w formule zaprojektuj i wybuduj.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....................................................... </w:t>
        <w:tab/>
        <w:t>………...................., dnia  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(nazwa i adres Wykonawcy)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>Załącznik nr 1a do SWZ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ZESTAWIENIE RZECZOWO-FINANSOWE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</w:r>
    </w:p>
    <w:tbl>
      <w:tblPr>
        <w:tblW w:w="9513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0"/>
        <w:gridCol w:w="4612"/>
        <w:gridCol w:w="738"/>
        <w:gridCol w:w="410"/>
        <w:gridCol w:w="1732"/>
        <w:gridCol w:w="1560"/>
      </w:tblGrid>
      <w:tr>
        <w:trPr>
          <w:trHeight w:val="420" w:hRule="atLeast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sz w:val="16"/>
                <w:szCs w:val="16"/>
              </w:rPr>
              <w:t>Nr</w:t>
            </w:r>
          </w:p>
        </w:tc>
        <w:tc>
          <w:tcPr>
            <w:tcW w:w="461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sz w:val="16"/>
                <w:szCs w:val="16"/>
              </w:rPr>
              <w:t>Nazwa elementu</w:t>
            </w:r>
          </w:p>
        </w:tc>
        <w:tc>
          <w:tcPr>
            <w:tcW w:w="73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sz w:val="16"/>
                <w:szCs w:val="16"/>
              </w:rPr>
              <w:t>Jednostka</w:t>
              <w:br/>
              <w:t>m/szt/kpl</w:t>
            </w:r>
          </w:p>
        </w:tc>
        <w:tc>
          <w:tcPr>
            <w:tcW w:w="41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sz w:val="16"/>
                <w:szCs w:val="16"/>
              </w:rPr>
              <w:t>Ilość</w:t>
            </w:r>
          </w:p>
        </w:tc>
        <w:tc>
          <w:tcPr>
            <w:tcW w:w="173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sz w:val="16"/>
                <w:szCs w:val="16"/>
              </w:rPr>
              <w:t>Cena  jednostkowa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sz w:val="16"/>
                <w:szCs w:val="16"/>
              </w:rPr>
              <w:t>Wartość</w:t>
            </w:r>
          </w:p>
        </w:tc>
      </w:tr>
      <w:tr>
        <w:trPr>
          <w:trHeight w:val="174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ascii="Arial Narrow" w:hAnsi="Arial Narrow"/>
                <w:i/>
                <w:iCs/>
                <w:sz w:val="16"/>
                <w:szCs w:val="16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i/>
                <w:iCs/>
                <w:sz w:val="20"/>
                <w:szCs w:val="20"/>
              </w:rPr>
              <w:t>Filtracja podciśnieniowa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410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1732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Filtr podciśnieniowy</w:t>
              <w:br/>
              <w:t>- Pole pow. Filtracji A = 4,75 m2</w:t>
              <w:br/>
              <w:t>- Wydajność Q = 142,5 m3/h</w:t>
            </w:r>
          </w:p>
        </w:tc>
        <w:tc>
          <w:tcPr>
            <w:tcW w:w="73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1.2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Tuleja kołnierzowa - 2szt.</w:t>
              <w:br/>
              <w:t>Kołnierz - 2szt.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Tuleja kołnierzowa - 2szt.</w:t>
              <w:br/>
              <w:t>Kołnierz - 2szt.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1.4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Przepustnica z napędem pneumatycznym DN200 i krańcówkami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1.5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Przepustnica z napędem pneumatycznym DN75 i krańcówkami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1.6</w:t>
            </w:r>
          </w:p>
        </w:tc>
        <w:tc>
          <w:tcPr>
            <w:tcW w:w="461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Podłączenie odpowietrzników wraz z materiałem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1.7</w:t>
            </w:r>
          </w:p>
        </w:tc>
        <w:tc>
          <w:tcPr>
            <w:tcW w:w="46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Pompa wody brudnej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1.8</w:t>
            </w:r>
          </w:p>
        </w:tc>
        <w:tc>
          <w:tcPr>
            <w:tcW w:w="46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Pompa wody czystej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1.9</w:t>
            </w:r>
          </w:p>
        </w:tc>
        <w:tc>
          <w:tcPr>
            <w:tcW w:w="46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Wentylator bocznokanałowy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1.10</w:t>
            </w:r>
          </w:p>
        </w:tc>
        <w:tc>
          <w:tcPr>
            <w:tcW w:w="46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Przetwornica częstotliwości pompy wody brudnej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1.11</w:t>
            </w:r>
          </w:p>
        </w:tc>
        <w:tc>
          <w:tcPr>
            <w:tcW w:w="46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Przetwornica częstotliwości pompy wody czystej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1.12</w:t>
            </w:r>
          </w:p>
        </w:tc>
        <w:tc>
          <w:tcPr>
            <w:tcW w:w="46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Przetwornica częstotliwości wentylatora bocznokanałowego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1.13</w:t>
            </w:r>
          </w:p>
        </w:tc>
        <w:tc>
          <w:tcPr>
            <w:tcW w:w="46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Sprężarka powietrza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1.14</w:t>
            </w:r>
          </w:p>
        </w:tc>
        <w:tc>
          <w:tcPr>
            <w:tcW w:w="46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Zestaw przygotowania powietrza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i/>
                <w:iCs/>
                <w:sz w:val="20"/>
                <w:szCs w:val="20"/>
              </w:rPr>
              <w:t>Prace demontażowe/montażowe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Wysypanie złoża z istniejących filtrów 2x1800mm</w:t>
            </w:r>
          </w:p>
        </w:tc>
        <w:tc>
          <w:tcPr>
            <w:tcW w:w="73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Demontaż i utylizacja istniejących filtrów stalowych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392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Demontaż istniejącej instalacji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2.4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Montaż nowej instalacji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2.5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Montaż nowych filtrów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2.6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Orurowanie, armatura, klej, czyściwo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2.7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Zasypka nowych filtrów złożem ze starych filtrów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2.8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Transport urządzeń</w:t>
            </w:r>
          </w:p>
        </w:tc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i/>
                <w:iCs/>
                <w:sz w:val="20"/>
                <w:szCs w:val="20"/>
              </w:rPr>
              <w:t>Dezynfekcja wody basenowej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410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1732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03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 xml:space="preserve">Urządzenie kontrolno - pomiarowe </w:t>
            </w:r>
            <w:r>
              <w:rPr>
                <w:rFonts w:eastAsia="Times New Roman" w:ascii="Arial Narrow" w:hAnsi="Arial Narrow"/>
                <w:b/>
                <w:bCs/>
                <w:sz w:val="20"/>
                <w:szCs w:val="20"/>
              </w:rPr>
              <w:t>UKP</w:t>
              <w:br/>
              <w:t>-</w:t>
            </w:r>
            <w:r>
              <w:rPr>
                <w:rFonts w:eastAsia="Times New Roman" w:ascii="Arial Narrow" w:hAnsi="Arial Narrow"/>
                <w:sz w:val="20"/>
                <w:szCs w:val="20"/>
              </w:rPr>
              <w:t xml:space="preserve"> Urządzenie z dotykowym wyświetlaczem</w:t>
              <w:br/>
              <w:t>- Cela pomiarowa</w:t>
              <w:br/>
              <w:t>- Licznik przepływu</w:t>
              <w:br/>
              <w:t>- Sonda pH</w:t>
              <w:br/>
              <w:t>- Sonda Redox</w:t>
              <w:br/>
              <w:t>- Sonda chloru wolnego membranowa</w:t>
              <w:br/>
              <w:t>- Czujnik temperatury</w:t>
              <w:br/>
              <w:t>- Kabel Ethernet do podłączenia w sieć internetową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566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3.2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Pompa dozująca podchloryn sodu</w:t>
              <w:br/>
              <w:t>- Wydajność Q = 2-5 l/h</w:t>
              <w:br/>
              <w:t>- Ciśnienie 5-10 bar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3.3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Pompa dozująca koagulant</w:t>
              <w:br/>
              <w:t>- Wydajność Q = 2-5 l/h</w:t>
              <w:br/>
              <w:t>- Ciśnienie 5-10 bar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3.4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Pompa dozująca korektor pH</w:t>
              <w:br/>
              <w:t>- Wydajność Q = 2-5 l/h</w:t>
              <w:br/>
              <w:t>- Ciśnienie 5-10 bar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3.5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Stabilizowany podchloryn sodu</w:t>
              <w:br/>
              <w:t>- Opakowanie 35kg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3.6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Korektor pH minus</w:t>
              <w:br/>
              <w:t>- Opakowanie 35kg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3.7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Koagulant</w:t>
              <w:br/>
              <w:t>- Opakowanie 30kg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3.8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Lanca ssąca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3.9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Kuweta zabezpieczająca środki chemiczne przed rozlaniem</w:t>
              <w:br/>
              <w:t xml:space="preserve">- Wykonanie własne z PP </w:t>
              <w:br/>
              <w:t>- 3 miejsca na pojemniki z środkami chemicznymi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i/>
                <w:iCs/>
                <w:sz w:val="20"/>
                <w:szCs w:val="20"/>
              </w:rPr>
              <w:t>Automatyka, elektryka, okablowanie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410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1732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Sonda poziomu wody filtra podciśnieniowego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4.2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Szafa sterownicza (Zasilanie urządzeń, program)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4.3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Przewody, okablowanie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4.4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Przepływomierz z wyświetlaczem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4.5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Robocizna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i/>
                <w:iCs/>
                <w:sz w:val="20"/>
                <w:szCs w:val="20"/>
              </w:rPr>
              <w:t>Rozruch, próby ciśnienia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410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sz w:val="20"/>
                <w:szCs w:val="20"/>
              </w:rPr>
            </w:r>
          </w:p>
        </w:tc>
        <w:tc>
          <w:tcPr>
            <w:tcW w:w="1732" w:type="dxa"/>
            <w:tcBorders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Płukanie, próby wodne urządzeń i szczelności instalacji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4.2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Rozruch stacji uzdatniania wody, nadzór technologiczny, opracowanie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b/>
                <w:bCs/>
                <w:i/>
                <w:iCs/>
                <w:sz w:val="20"/>
                <w:szCs w:val="20"/>
              </w:rPr>
              <w:t>Dokumentacja projektowa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kpl.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Arial Narrow" w:hAnsi="Arial Narrow" w:eastAsia="Times New Roman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 Narrow" w:hAnsi="Arial Narrow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Arial Narrow" w:hAnsi="Arial Narrow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left="4956" w:firstLine="708"/>
        <w:rPr>
          <w:rFonts w:ascii="Arial" w:hAnsi="Arial" w:cs="Arial"/>
          <w:color w:val="000000" w:themeColor="text1"/>
        </w:rPr>
      </w:pPr>
      <w:bookmarkStart w:id="0" w:name="_GoBack"/>
      <w:bookmarkEnd w:id="0"/>
      <w:r>
        <w:rPr>
          <w:rFonts w:cs="Arial" w:ascii="Arial" w:hAnsi="Arial"/>
          <w:color w:val="000000" w:themeColor="text1"/>
        </w:rPr>
        <w:t>Łączna wartość NETTO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591" w:leader="none"/>
        </w:tabs>
        <w:spacing w:lineRule="auto" w:line="240" w:before="108" w:after="0"/>
        <w:ind w:right="229" w:hanging="0"/>
        <w:rPr>
          <w:rFonts w:ascii="Arial" w:hAnsi="Arial" w:eastAsia="Carlito" w:cs="Arial"/>
        </w:rPr>
      </w:pPr>
      <w:r>
        <w:rPr>
          <w:rFonts w:eastAsia="Carlito" w:cs="Arial" w:ascii="Arial" w:hAnsi="Arial"/>
          <w:w w:val="105"/>
        </w:rPr>
        <w:tab/>
        <w:tab/>
        <w:tab/>
        <w:tab/>
        <w:tab/>
        <w:tab/>
        <w:t>Podatek</w:t>
      </w:r>
      <w:r>
        <w:rPr>
          <w:rFonts w:eastAsia="Carlito" w:cs="Arial" w:ascii="Arial" w:hAnsi="Arial"/>
          <w:spacing w:val="-7"/>
          <w:w w:val="105"/>
        </w:rPr>
        <w:t xml:space="preserve"> </w:t>
      </w:r>
      <w:r>
        <w:rPr>
          <w:rFonts w:eastAsia="Carlito" w:cs="Arial" w:ascii="Arial" w:hAnsi="Arial"/>
          <w:w w:val="105"/>
        </w:rPr>
        <w:t>VAT</w:t>
        <w:tab/>
      </w:r>
    </w:p>
    <w:p>
      <w:pPr>
        <w:pStyle w:val="Normal"/>
        <w:spacing w:lineRule="auto" w:line="240" w:before="0" w:after="0"/>
        <w:ind w:left="4956" w:firstLine="708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Łączna wartość BRUTTO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2953856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214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92146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92146"/>
    <w:rPr>
      <w:rFonts w:ascii="Calibri" w:hAnsi="Calibri" w:eastAsia="Calibri" w:cs="Times New Roman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d4648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737c5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d4648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921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921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37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0768d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d464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LibreOffice/7.1.4.2$Windows_X86_64 LibreOffice_project/a529a4fab45b75fefc5b6226684193eb000654f6</Application>
  <AppVersion>15.0000</AppVersion>
  <Pages>3</Pages>
  <Words>466</Words>
  <Characters>2599</Characters>
  <CharactersWithSpaces>2900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2022-03-22T06:55:00Z</dcterms:created>
  <dc:creator>Justyna Orżanowska</dc:creator>
  <dc:description/>
  <dc:language>pl-PL</dc:language>
  <cp:lastModifiedBy/>
  <dcterms:modified xsi:type="dcterms:W3CDTF">2022-08-04T08:07:50Z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